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rPr>
          <w:rFonts w:ascii="Arial" w:hAnsi="Arial" w:cs="Arial"/>
          <w:sz w:val="22"/>
          <w:szCs w:val="22"/>
          <w:lang w:val="es-ES"/>
        </w:rPr>
      </w:pP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Resolución do XX de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xaneiro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de 2019, do Director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xeral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de Centros e Recursos Humanos,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pola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que se convoca un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procedemento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para a elaboración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dunha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lista de interinidades/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substitucións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de profesorado especialista de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nacionalidade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estranxeira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para impartir docencia no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corpo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de profesores de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escolas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oficiais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de idiomas,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especialidade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de chinés (592004).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5421D9" w:rsidRDefault="005421D9" w:rsidP="005421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Lei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orgánica 2/2006, do 3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maio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de Educación establece no apartado 2 do artigo 97, que </w:t>
      </w:r>
      <w:r>
        <w:rPr>
          <w:rFonts w:ascii="Arial" w:hAnsi="Arial" w:cs="Arial"/>
          <w:i/>
          <w:iCs/>
          <w:sz w:val="22"/>
          <w:szCs w:val="22"/>
          <w:lang w:val="es-ES"/>
        </w:rPr>
        <w:t xml:space="preserve">“As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administracións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educativas, excepcionalmente,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poderán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incorporar como profesores especialistas,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atendendo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a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súa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cualificación e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ás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necesidades do sistema educativo, a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profesionais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, non necesariamente titulados, de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nacionalidade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estranxeira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. A dita incorporación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realizarase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en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réxime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laboral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ou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administrativo, de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acordo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coa normativa que resulte de aplicación e deberá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cumprirse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o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contido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dos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artigos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9.5 e 36 da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Lei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orgánica 4/2000, do 11 de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xaneiro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, sobre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dereitos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e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liberdades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dos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estranxeiros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en España e a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súa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integración social, agás no caso de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nacionais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dos Estados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membros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da Unión Europea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ou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aqueles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aos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que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lles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sexa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de aplicación o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réxime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 xml:space="preserve"> comunitario de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/>
        </w:rPr>
        <w:t>estranxeiría</w:t>
      </w:r>
      <w:proofErr w:type="spellEnd"/>
      <w:r>
        <w:rPr>
          <w:rFonts w:ascii="Arial" w:hAnsi="Arial" w:cs="Arial"/>
          <w:i/>
          <w:iCs/>
          <w:sz w:val="22"/>
          <w:szCs w:val="22"/>
          <w:lang w:val="es-ES"/>
        </w:rPr>
        <w:t>.”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5421D9" w:rsidRDefault="005421D9" w:rsidP="005421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  <w:kern w:val="1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O punto décimo do texto refundido 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Acordo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do 20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xuño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1995, polo que se regulan o acceso e 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condicións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traballo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persoal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docente interino e substituto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dependente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desta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consellería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que imparte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ensinanzas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distintas das universitarias, publicado no </w:t>
      </w:r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Diario Oficial de Galicia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do 11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xullo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2017 por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unha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Resolución da Dirección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Xeral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Centros e Recursos Humanos do 28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xuño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2017, establece 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posibilidade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que 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Consellería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Educación,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Universidade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 Formación Profesional convoque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procedementos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para a elaboración das listas de interinidades 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substitucións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no caso de que,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unha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vez realizado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chamamento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 todas 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que constan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relacións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mencionadas no punto segundo 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mesmo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texto refundido, continuase resultando necesario cubrir necesidades de profesorado. 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421D9" w:rsidRDefault="005421D9" w:rsidP="005421D9">
      <w:pPr>
        <w:widowControl w:val="0"/>
        <w:autoSpaceDE w:val="0"/>
        <w:autoSpaceDN w:val="0"/>
        <w:adjustRightInd w:val="0"/>
        <w:spacing w:line="276" w:lineRule="auto"/>
        <w:ind w:right="57"/>
        <w:jc w:val="both"/>
        <w:rPr>
          <w:rFonts w:ascii="Arial" w:hAnsi="Arial" w:cs="Arial"/>
          <w:color w:val="000000"/>
          <w:kern w:val="1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Logo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esgotadas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as listas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correspondentes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corpo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profesores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escolas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oficiais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idiomas,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especialidade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chinés (592004),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ditouse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Resolución do 10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outubro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2018, da Dirección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Xeral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Centros e Recursos Humanos,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pola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que se convoca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procedemento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para a elaboración das listas de interinidades 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substitucións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para impartir docencia no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corpo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profesores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escolas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oficiais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idiomas,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especialidade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chinés (592004). 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line="276" w:lineRule="auto"/>
        <w:ind w:right="57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1"/>
          <w:sz w:val="22"/>
          <w:szCs w:val="22"/>
          <w:lang w:val="es-ES"/>
        </w:rPr>
      </w:pPr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Por Resolución do 25 de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outubro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de 2018, da Dirección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Xeral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de Centros e Recursos Humanos,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aprobouse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a relación provisional de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admitidas 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excluídas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e o baremo provisional no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procedemento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para a elaboración das citadas listas de interinidades 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substitucións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, 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publicouse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no portal de Internet da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Consellería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de Educación,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Universidade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e Formación Profesional.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Sinalar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que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foron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3 as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solicitantes das cales 2 constan como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excluídas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na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relación provisional  e 1 admitida e que polo tanto é a única aspirante que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foi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obxecto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da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baremación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provisional.</w:t>
      </w: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</w:pP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1"/>
          <w:sz w:val="22"/>
          <w:szCs w:val="22"/>
          <w:lang w:val="es-ES"/>
        </w:rPr>
      </w:pPr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Logo de rematado o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prazo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para formular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reclamacións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contra a citada relación provisional de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admitidas 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excluídas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e o baremo provisional, e revisadas as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reclamacións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que formularon as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interesadas,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aprobouse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a relación definitiva de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admitidas 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excluídas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e o baremo definitivo no citado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procedemento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mediante a Resolución do 9 de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novembro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de 2018 da Dirección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Xeral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de Centros e Recursos Humano e publicándose no portal da Internet da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Consellería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de Educación,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Universidade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e Formación Profesional, de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acordo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co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disposto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na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base sétima da convocatoria.</w:t>
      </w: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</w:pP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1"/>
          <w:sz w:val="22"/>
          <w:szCs w:val="22"/>
          <w:lang w:val="es-ES"/>
        </w:rPr>
      </w:pP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Confírmase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na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relación definitiva de aspirantes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excluídos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a exclusión das dúas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anteditas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sendo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polo tanto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só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unha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persoa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aspirante a que integra o listado do baremo definitivo. Esta aspirante formula renuncia temporal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aos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chamamentos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que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poidan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producirse con data 15 de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novembro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de 2018 por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coidado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fillo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/a menor de 6 anos.</w:t>
      </w: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</w:pP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1"/>
          <w:sz w:val="22"/>
          <w:szCs w:val="22"/>
          <w:lang w:val="es-ES"/>
        </w:rPr>
      </w:pPr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Producida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unha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vacante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desta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especialidade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e dada a ausencia de profesorado interino/substituto que a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poida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cubrir,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cómpre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realizar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unha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convocatoria para establecer un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procedemento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extraordinairo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para a incorporación de novas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candidatas á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correspondente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lista de interinidades 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substitucións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, e dado que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na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última apertura de listas para esta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especialidade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só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se presentaron tres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só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unha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reunía os requisitos para ser admitida,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cómpre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na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presente convocatoria, de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xeito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excepcional, acudir a incorporación de profesores/as especialistas  en base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ao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establecido no artigo 97.2 da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Lei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2/2006, do 3 de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maio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, de educación,  de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acordo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coas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seguintes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bases:</w:t>
      </w: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after="226" w:line="276" w:lineRule="auto"/>
        <w:ind w:right="567"/>
        <w:jc w:val="both"/>
        <w:rPr>
          <w:rFonts w:ascii="Arial" w:hAnsi="Arial" w:cs="Arial"/>
          <w:i/>
          <w:iCs/>
          <w:color w:val="000000"/>
          <w:sz w:val="22"/>
          <w:szCs w:val="22"/>
          <w:lang w:val="es-ES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Primeira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Obxecto</w:t>
      </w:r>
      <w:proofErr w:type="spellEnd"/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after="226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Convocar un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procedemento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extraordinario para a elaboración das listas de interinidades 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substitucións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para a incorporación como profesor/a especialista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nacionalidade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estranxeira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para impartir docencia no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corpo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profesores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escolas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oficiais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idiomas,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especialidade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chinés (592004).</w:t>
      </w: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pacing w:val="-7"/>
          <w:kern w:val="1"/>
          <w:sz w:val="22"/>
          <w:szCs w:val="22"/>
          <w:lang w:val="es-ES"/>
        </w:rPr>
      </w:pPr>
      <w:r>
        <w:rPr>
          <w:rFonts w:ascii="Arial" w:hAnsi="Arial" w:cs="Arial"/>
          <w:i/>
          <w:iCs/>
          <w:color w:val="000000"/>
          <w:spacing w:val="-7"/>
          <w:kern w:val="1"/>
          <w:sz w:val="22"/>
          <w:szCs w:val="22"/>
          <w:lang w:val="es-ES"/>
        </w:rPr>
        <w:t xml:space="preserve">Segunda. Requisitos das </w:t>
      </w:r>
      <w:proofErr w:type="spellStart"/>
      <w:r>
        <w:rPr>
          <w:rFonts w:ascii="Arial" w:hAnsi="Arial" w:cs="Arial"/>
          <w:i/>
          <w:iCs/>
          <w:color w:val="000000"/>
          <w:spacing w:val="-7"/>
          <w:kern w:val="1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i/>
          <w:iCs/>
          <w:color w:val="000000"/>
          <w:spacing w:val="-7"/>
          <w:kern w:val="1"/>
          <w:sz w:val="22"/>
          <w:szCs w:val="22"/>
          <w:lang w:val="es-ES"/>
        </w:rPr>
        <w:t xml:space="preserve"> aspirantes</w:t>
      </w: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</w:pP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</w:pPr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As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aspirantes deberán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posuír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na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data de finalización do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prazo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de presentación de solicitudes establecido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na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base quinta, os requisitos que de seguido se indican 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tendo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en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conta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o establecido no artigo 97.2 da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Lei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2/2006, do 3 de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maio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:</w:t>
      </w: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</w:pP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</w:pPr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a)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Dispoñer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de permiso de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traballo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e de residencia en España </w:t>
      </w: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</w:pPr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b) Ter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cumpridos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16 anos de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idade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e non ter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acadado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a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idade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establecida, con carácter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xeral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para a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xubilación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forzosa.</w:t>
      </w: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</w:pPr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c) Non ter sido separado/a mediante expediente disciplinario do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servizo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calquera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das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administracións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públicas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nin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estar inhabilitado para o desempeño de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funcións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públicas polo que  deberán acreditar que non están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suxeitos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a sanción penal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ou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disciplinaria que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lles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impida, no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seu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Estado, o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exercicio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funcións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públicas.</w:t>
      </w: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</w:pPr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d) Non estar matriculado/a como alumno/a oficial, presencial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ou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a distancia, no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mesmo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centro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onde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se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produza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a vacante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obxecto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da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interinidade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/substitución.</w:t>
      </w: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</w:pPr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e)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Posuír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algún dos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seguintes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requisitos: certificación de competencia en Chino Mandarín equivalente a C2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ou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ter experiencia docente de chinés en centros educativos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ou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estar acreditado oficialmente (CTSOL) como profesor/a de chinés.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f) Acreditar 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coñecemento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lingua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galega. A acreditación 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coñecemento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lingua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galega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realizarase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coa presentación do certificado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coñecemento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lingua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galega (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Celga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4),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ou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súa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validación polo órgano competente; do curso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perfeccionamento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lingua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galega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ou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súa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validación polo órgano competente; o título de licenciatura en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filoloxía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galego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-portuguesa, o certificado do nivel avanzado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escola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oficial de idiomas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ou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o certificado de ter superado o curso de especialización en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lingua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galega.</w:t>
      </w: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after="226" w:line="276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Non obstante o anterior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poderán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formular solicitudes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aquelas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que non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posúan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o certificado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coñecemento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lingua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galega (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Celga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4)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ou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equivalente. Estas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candidatas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poderán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ser seleccionadas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falta de candidatos que si o acrediten. 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ind w:right="567"/>
        <w:jc w:val="both"/>
        <w:rPr>
          <w:rFonts w:ascii="Arial" w:hAnsi="Arial" w:cs="Arial"/>
          <w:i/>
          <w:iCs/>
          <w:color w:val="000000"/>
          <w:kern w:val="1"/>
          <w:sz w:val="22"/>
          <w:szCs w:val="22"/>
          <w:lang w:val="es-E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Terceira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. Solicitudes 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prazo</w:t>
      </w:r>
      <w:proofErr w:type="spellEnd"/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1. 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interesadas deberán formular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unha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solicitude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, segundo o modelo que consta como anexo I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desta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resolución,  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aboar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taxa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corrrespondente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. Con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elas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deberán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achegar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cuberto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o modelo de alegación de méritos (anexo II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desta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resolución) 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unha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copia compulsada da documentación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xustificativa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dos requisitos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esixidos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base cuarta e da documentación acreditativa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daqueles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méritos que aleguen susceptibles de valoración. O modelo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solicitude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 o de alegación de méritos, anexo I e II respectivamente,  serán os que figuren publicados  no portal de Internet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Consellería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Educación,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Universidade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 Formación Profesional www.edu.xunta.gal no apartado de colectivo&gt;profesorado&gt;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xestión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profesorado.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Times" w:hAnsi="Times" w:cs="Times"/>
          <w:kern w:val="1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aspirantes que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teñan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recoñecida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unha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discapacidade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de, polo menos, o 33%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data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solicitude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deberán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achegar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unha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copia compulsada da documentación acreditativa 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dito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recoñecemento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para os efectos da aplicación, de ser o caso, da garantía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chamamentos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con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discapacidade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prevista no parágrafo segundo do apartado segundo do texto refundido 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Acordo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do 20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xuño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1995, polo que se regulan o acceso e 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condicións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traballo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persoal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docente interino e substituto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dependente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desta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consellería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que imparte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ensinanzas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distintas das universitarias, publicado no </w:t>
      </w:r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Diario Oficial de Galicia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do 11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xullo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2017 por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unha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Resolución da Dirección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Xeral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Centros e Recursos Humanos do 28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xuño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2017. 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Times" w:hAnsi="Times" w:cs="Times"/>
          <w:kern w:val="1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2. 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prazo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para formular solicitudes, por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calquera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dos medios previstos no artigo 16.4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Lei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39/2015, do 1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outubro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, 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procedemento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administrativo común das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administracións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públicas, será de cinco días hábiles contados a partir 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seguinte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da publicación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desta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resolución no portal de Internet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Consellería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Educación,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Universidade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 Formación Profesional www.edu.xunta.gal. No caso de optar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pola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presentación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solicitude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demais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documentación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nunha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oficina de Correos,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farase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en sobre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aberto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para que 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solicitude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sexa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datada 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selada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pola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funcionaria antes de ser certificada.</w:t>
      </w: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pacing w:val="-7"/>
          <w:kern w:val="1"/>
          <w:sz w:val="22"/>
          <w:szCs w:val="22"/>
          <w:lang w:val="es-ES"/>
        </w:rPr>
      </w:pPr>
      <w:r>
        <w:rPr>
          <w:rFonts w:ascii="Arial" w:hAnsi="Arial" w:cs="Arial"/>
          <w:i/>
          <w:iCs/>
          <w:color w:val="000000"/>
          <w:spacing w:val="-7"/>
          <w:kern w:val="1"/>
          <w:sz w:val="22"/>
          <w:szCs w:val="22"/>
          <w:lang w:val="es-ES"/>
        </w:rPr>
        <w:t xml:space="preserve">Cuarta. Documentación a presentar coa </w:t>
      </w:r>
      <w:proofErr w:type="spellStart"/>
      <w:r>
        <w:rPr>
          <w:rFonts w:ascii="Arial" w:hAnsi="Arial" w:cs="Arial"/>
          <w:i/>
          <w:iCs/>
          <w:color w:val="000000"/>
          <w:spacing w:val="-7"/>
          <w:kern w:val="1"/>
          <w:sz w:val="22"/>
          <w:szCs w:val="22"/>
          <w:lang w:val="es-ES"/>
        </w:rPr>
        <w:t>solicitude</w:t>
      </w:r>
      <w:proofErr w:type="spellEnd"/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</w:pP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</w:pPr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1. As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aspirantes deberán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achegar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xunto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coa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solicitude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de participación do anexo I a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seguinte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documentación:</w:t>
      </w: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</w:pP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pacing w:val="-7"/>
          <w:kern w:val="1"/>
          <w:sz w:val="22"/>
          <w:szCs w:val="22"/>
          <w:lang w:val="es-ES"/>
        </w:rPr>
      </w:pPr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a) Fotocopia do NIE (Número de Identificación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Estranxeiro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)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ou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fotocopia do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correspondente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documento oficial de acreditación de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identidade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no Estado de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orixe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vixente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no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prazo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de presentación de solicitudes. </w:t>
      </w: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pacing w:val="-7"/>
          <w:kern w:val="1"/>
          <w:sz w:val="22"/>
          <w:szCs w:val="22"/>
          <w:lang w:val="es-ES"/>
        </w:rPr>
      </w:pPr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b) Documentación acreditativa do permiso de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traballo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e de residencia en España</w:t>
      </w: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pacing w:val="-7"/>
          <w:kern w:val="1"/>
          <w:sz w:val="22"/>
          <w:szCs w:val="22"/>
          <w:lang w:val="es-ES"/>
        </w:rPr>
      </w:pPr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c)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Curriculum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vitae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xunto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con fotocopia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cotexada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de toda a documentación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xustificativa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que estime a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persoa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aspirante e que en todo caso comprenda a relativa </w:t>
      </w:r>
      <w:proofErr w:type="spellStart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>ao</w:t>
      </w:r>
      <w:proofErr w:type="spellEnd"/>
      <w:r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  <w:t xml:space="preserve"> apartado e) da base Segunda.</w:t>
      </w: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7"/>
          <w:kern w:val="1"/>
          <w:sz w:val="22"/>
          <w:szCs w:val="22"/>
          <w:lang w:val="es-ES"/>
        </w:rPr>
      </w:pP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2. A documentación presentada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fóra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prazo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establecido para a presentación de solicitudes non será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tida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conta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 efectos de valoración de requisitos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nin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méritos.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ind w:right="567"/>
        <w:jc w:val="both"/>
        <w:rPr>
          <w:rFonts w:ascii="Arial" w:hAnsi="Arial" w:cs="Arial"/>
          <w:i/>
          <w:iCs/>
          <w:color w:val="000000"/>
          <w:sz w:val="22"/>
          <w:szCs w:val="22"/>
          <w:lang w:val="es-ES"/>
        </w:rPr>
      </w:pP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ind w:right="567"/>
        <w:jc w:val="both"/>
        <w:rPr>
          <w:rFonts w:ascii="Arial" w:hAnsi="Arial" w:cs="Arial"/>
          <w:i/>
          <w:iCs/>
          <w:color w:val="000000"/>
          <w:sz w:val="22"/>
          <w:szCs w:val="22"/>
          <w:lang w:val="es-ES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Quinta. Importe e pagamento dos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dereitos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inscrición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nas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 listas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(Códigos: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Consellería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Educación,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Universidade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 Formación Profesional, código 07; Delegación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Servizos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Centrais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, código 13;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Servizo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Secretaría, código 01;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taxa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denominación,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Inscrición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listas para a cobertura con carácter temporal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postos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traballo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Administración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Comunidade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Autónoma: código 30.03.01).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Os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dereitos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inscrición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listas serán de  17,60 euros.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Estarán exentos do pagamento dos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dereitos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inscrición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listas, logo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xustificación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documental: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ind w:right="567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a) 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con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discapacidade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igual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ou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superior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33 %.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b) 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que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sexan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membros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familias numerosas clasificadas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categoría especial.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ind w:right="567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Aplicarase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unha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bonificación do 50 % á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inscrición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solicitada por: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ind w:left="567" w:right="567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a) 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que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sexan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membros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familias numerosas de categoría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xeral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b) 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que figuren como demandantes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emprego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desde, polo menos, seis meses antes da data da convocatoria de probas selectivas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cales soliciten 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súa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participación e non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estean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 percibir prestación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ou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subsidio por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desemprego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ind w:right="567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O pagamento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taxa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poderá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efectuarse por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dous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medios: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Times" w:hAnsi="Times" w:cs="Times"/>
          <w:kern w:val="1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–A través do impreso de autoliquidación en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calquera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das entidades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financeiras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colaboradoras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recadación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taxas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prezos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Comunidade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Autónoma de Galicia.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Times" w:hAnsi="Times" w:cs="Times"/>
          <w:kern w:val="1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–De forma telemática, no portal de Internet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Axencia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Tributaria de Galicia  (</w:t>
      </w:r>
      <w:r>
        <w:rPr>
          <w:rFonts w:ascii="Arial" w:hAnsi="Arial" w:cs="Arial"/>
          <w:kern w:val="1"/>
          <w:sz w:val="22"/>
          <w:szCs w:val="22"/>
          <w:lang w:val="es-ES"/>
        </w:rPr>
        <w:t>https://ovt.atriga.gal</w:t>
      </w:r>
      <w:r>
        <w:rPr>
          <w:rFonts w:ascii="Arial" w:hAnsi="Arial" w:cs="Arial"/>
          <w:color w:val="000000"/>
          <w:sz w:val="22"/>
          <w:szCs w:val="22"/>
          <w:lang w:val="es-ES"/>
        </w:rPr>
        <w:t>).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Se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desexa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tramitar 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taxa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por vía telemática, deberá introducir os datos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taxa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 efectuar o pago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mesma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. Para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isto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dispón das modalidades de pago telemático (cargo en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conta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ou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tarxeta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) e pago presencial (mediante un impreso para presentar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entidade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bancaria).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Unha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vez realizado o ingreso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obterá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xustificante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correspondente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Se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desexa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tramitar 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taxa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xeito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presencial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poderá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obter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un modelo en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branco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para cubrir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ou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ben introducir os datos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taxa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 a aplicación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lle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proporcionará o modelo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cuberto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after="226" w:line="276" w:lineRule="auto"/>
        <w:jc w:val="both"/>
        <w:rPr>
          <w:rFonts w:ascii="Arial" w:hAnsi="Arial" w:cs="Arial"/>
          <w:color w:val="000000"/>
          <w:sz w:val="26"/>
          <w:szCs w:val="26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 non presentación dentro 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prazo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xustificación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do pagamento das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taxas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, no que figure de ser o caso o selo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entidade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bancaria, determinará a exclusión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aspirante. En ningún caso a presentación 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xustificante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suporá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 substitución do trámite de presentación en tempo e forma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solicitude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1"/>
          <w:sz w:val="26"/>
          <w:szCs w:val="26"/>
          <w:lang w:val="es-ES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Sexta. Comisión de selección</w:t>
      </w: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1"/>
          <w:sz w:val="26"/>
          <w:szCs w:val="26"/>
          <w:lang w:val="es-ES"/>
        </w:rPr>
      </w:pP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 asignación da puntuación que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lles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corresponde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ás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aspirantes será realizada por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unha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comisión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constituída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por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persoal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funcionario con destino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Consellería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Educación,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Universidade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 Formación Profesional. Esta comisión estará cualificada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categoría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primeira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para os efectos do previsto no Decreto 144/2001, do 7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xuño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(DOG do 25), modificado polo Decreto 144/2008, de 26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xuño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(DOG do 18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xullo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) e polo Decreto 96/2011, do 5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maio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(DOG do 30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maio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, corrección de erros do 1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xuño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). </w:t>
      </w: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after="226" w:line="276" w:lineRule="auto"/>
        <w:jc w:val="both"/>
        <w:rPr>
          <w:rFonts w:ascii="Arial" w:hAnsi="Arial" w:cs="Arial"/>
          <w:color w:val="000000"/>
          <w:sz w:val="26"/>
          <w:szCs w:val="26"/>
          <w:lang w:val="es-E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Poderá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asistir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ás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reunións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da comisión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unha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representante de cada organización sindical con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presenza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Mesa Sectorial Docente non universitaria, con voz 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sen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voto. 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Arial" w:hAnsi="Arial" w:cs="Arial"/>
          <w:i/>
          <w:iCs/>
          <w:color w:val="000000"/>
          <w:kern w:val="1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Sétima. Baremo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O baremo aplicable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valoración dos méritos será o que figura como anexo II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desta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Resolución.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  <w:lang w:val="es-ES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Oitava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. Relación provisional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 admitidas 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excluídas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, baremo provisional 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reclamacións</w:t>
      </w:r>
      <w:proofErr w:type="spellEnd"/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Times" w:hAnsi="Times" w:cs="Times"/>
          <w:kern w:val="1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 comisión prevista no punto sexto realizará a valoración dos méritos e logo de realizada esta, a Dirección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Xeral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Centros e Recursos Humanos emitirá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unha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resolución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pola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que se aprobará a relación provisional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admitidas 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excluídas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 o baremo provisional, que se publicarán no portal de Internet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Consellería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Educación,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Universidade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 Formación Profesional </w:t>
      </w:r>
      <w:hyperlink r:id="rId5" w:history="1">
        <w:r>
          <w:rPr>
            <w:rFonts w:ascii="Arial" w:hAnsi="Arial" w:cs="Arial"/>
            <w:color w:val="000000"/>
            <w:sz w:val="22"/>
            <w:szCs w:val="22"/>
            <w:lang w:val="es-ES"/>
          </w:rPr>
          <w:t>www.edu.xunta.</w:t>
        </w:r>
      </w:hyperlink>
      <w:r>
        <w:rPr>
          <w:rFonts w:ascii="Arial" w:hAnsi="Arial" w:cs="Arial"/>
          <w:color w:val="000000"/>
          <w:sz w:val="22"/>
          <w:szCs w:val="22"/>
          <w:lang w:val="es-ES"/>
        </w:rPr>
        <w:t xml:space="preserve">gal. 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interesadas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poderán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formular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reclamacións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contra a relación provisional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admitidas 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excluídas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 o baremo provisional, mediante un escrito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dirixido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director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xeral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Centros e Recursos Humanos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Consellería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Educación,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Universidade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 Formación Profesional, que presentarán por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calquera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dos medios previstos no artigo 16.4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Lei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39/2015, do 1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outubro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, 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procedemento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administrativo común das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administracións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públicas, no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prazo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tres días hábiles contados a partir 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seguinte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da publicación da resolución no citado portal de Internet. 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alegacións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así formuladas deberán remitirse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tamén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por correo electrónico no citado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prazo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enderezo </w:t>
      </w:r>
      <w:hyperlink r:id="rId6" w:history="1">
        <w:r>
          <w:rPr>
            <w:rFonts w:ascii="Arial" w:hAnsi="Arial" w:cs="Arial"/>
            <w:color w:val="000000"/>
            <w:sz w:val="22"/>
            <w:szCs w:val="22"/>
            <w:lang w:val="es-ES"/>
          </w:rPr>
          <w:t>persoal.secundaria@edu.xunta.es</w:t>
        </w:r>
      </w:hyperlink>
      <w:r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ind w:right="57"/>
        <w:jc w:val="both"/>
        <w:rPr>
          <w:rFonts w:ascii="Arial" w:hAnsi="Arial" w:cs="Arial"/>
          <w:i/>
          <w:iCs/>
          <w:color w:val="000000"/>
          <w:sz w:val="22"/>
          <w:szCs w:val="22"/>
          <w:lang w:val="es-ES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Novena.  Relación definitiva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 admitidas 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excluídas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, baremo definitivo e recursos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Times" w:hAnsi="Times" w:cs="Times"/>
          <w:kern w:val="1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Logo de revisadas 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reclamacións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contra a relación provisional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admitidas 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excluídas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 o baremo provisional, a Dirección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Xeral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Centros e Recursos Humanos emitirá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unha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resolución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pola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que se aprobará a relación definitiva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admitidas 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excluídas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 o baremo definitivo, que se publicarán no portal de Internet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Consellería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Educación,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Universidade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 Formación Profesional </w:t>
      </w:r>
      <w:hyperlink r:id="rId7" w:history="1">
        <w:r>
          <w:rPr>
            <w:rFonts w:ascii="Arial" w:hAnsi="Arial" w:cs="Arial"/>
            <w:color w:val="000000"/>
            <w:sz w:val="22"/>
            <w:szCs w:val="22"/>
            <w:lang w:val="es-ES"/>
          </w:rPr>
          <w:t>www.edu.xunta.</w:t>
        </w:r>
      </w:hyperlink>
      <w:r>
        <w:rPr>
          <w:rFonts w:ascii="Arial" w:hAnsi="Arial" w:cs="Arial"/>
          <w:color w:val="000000"/>
          <w:sz w:val="22"/>
          <w:szCs w:val="22"/>
          <w:lang w:val="es-ES"/>
        </w:rPr>
        <w:t xml:space="preserve">gal. 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Contra a resolución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pola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que se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aproba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 relación definitiva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admitidas 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excluídas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 o baremo definitivo, que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lle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pon fin a vía administrativa, 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interesadas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poderán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formular un recurso potestativo de reposición, no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prazo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dun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mes a contar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dende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o día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seguinte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súa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publicación no citado portal de Internet, ante 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titular da Dirección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Xeral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Centros e Recursos Humanos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acordo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artigos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123 e 124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Lei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39/2015, do 1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outubro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, 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procedemento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administrativo común das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administracións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públicas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ou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directamente un recurso contencioso administrativo, no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prazo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dous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meses a contar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dende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mesma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data, ante 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xulgado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do contencioso administrativo que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sexa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competente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conformidade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coa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Lei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29/1998, de 13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xullo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, reguladora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xurisdición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contencioso-administrativa.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ind w:right="567"/>
        <w:jc w:val="both"/>
        <w:rPr>
          <w:rFonts w:ascii="Arial" w:hAnsi="Arial" w:cs="Arial"/>
          <w:i/>
          <w:iCs/>
          <w:color w:val="000000"/>
          <w:sz w:val="22"/>
          <w:szCs w:val="22"/>
          <w:lang w:val="es-ES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Décima.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Orde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chamamentos</w:t>
      </w:r>
      <w:proofErr w:type="spellEnd"/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Times" w:hAnsi="Times" w:cs="Times"/>
          <w:kern w:val="1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candidatas seleccionadas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neste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procedemento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extraordinario ocup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arán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lista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correspondente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especialidade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un número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orde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chamamentos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posterior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persoal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interino e substituto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mesma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lista que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foi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seleccionado en convocatorias anteriores. 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Times" w:hAnsi="Times" w:cs="Times"/>
          <w:kern w:val="1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Así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mesmo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, cando se abra un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novo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procedemento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ordinario de elaboración de listas de interinos/substitutos para impartir docencia no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corpo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profesores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escolas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oficiais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idiomas,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especialidade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chinés (592004),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terán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prioridade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orde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chamamentos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aspirantes que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reunindo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os requisitos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esixidos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no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dito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procedemento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ordinario resulten admitidas. 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ind w:right="567"/>
        <w:jc w:val="both"/>
        <w:rPr>
          <w:rFonts w:ascii="Times" w:hAnsi="Times" w:cs="Times"/>
          <w:i/>
          <w:iCs/>
          <w:kern w:val="1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Décimo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primeira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>. Recursos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jc w:val="both"/>
        <w:rPr>
          <w:rFonts w:ascii="Times" w:hAnsi="Times" w:cs="Times"/>
          <w:kern w:val="1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Contra esta resolución, que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lle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pon fin a vía administrativa, 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interesadas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poderán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formular un recurso potestativo de reposición, no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prazo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dun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mes a contar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dende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o día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seguinte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súa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publicación no portal de Internet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Consellería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Educación,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Universidade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 Formación Profesional </w:t>
      </w:r>
      <w:hyperlink r:id="rId8" w:history="1">
        <w:r>
          <w:rPr>
            <w:rFonts w:ascii="Arial" w:hAnsi="Arial" w:cs="Arial"/>
            <w:color w:val="000000"/>
            <w:sz w:val="22"/>
            <w:szCs w:val="22"/>
            <w:lang w:val="es-ES"/>
          </w:rPr>
          <w:t>www.edu.xunta.</w:t>
        </w:r>
      </w:hyperlink>
      <w:r>
        <w:rPr>
          <w:rFonts w:ascii="Arial" w:hAnsi="Arial" w:cs="Arial"/>
          <w:color w:val="000000"/>
          <w:sz w:val="22"/>
          <w:szCs w:val="22"/>
          <w:lang w:val="es-ES"/>
        </w:rPr>
        <w:t xml:space="preserve">gal, ante 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persoa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titular da Dirección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Xeral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Centros e Recursos Humanos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acordo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artigos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123 e 124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Lei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39/2015, do 1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outubro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, 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procedemento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administrativo común das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administracións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públicas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ou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directamente un recurso contencioso administrativo, no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prazo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dous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meses a contar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dende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mesma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data, ante 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xulgado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do contencioso administrativo que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sexa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competente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conformidade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coa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Lei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29/1998, de 13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xullo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, reguladora 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xurisdición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contencioso-administrativa.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ind w:right="567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ind w:right="567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Santiago de Compostela, xx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xaneiro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 2019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ind w:right="567"/>
        <w:jc w:val="both"/>
        <w:rPr>
          <w:rFonts w:ascii="Times New Roman" w:hAnsi="Times New Roman" w:cs="Times New Roman"/>
          <w:color w:val="000000"/>
          <w:kern w:val="1"/>
          <w:lang w:val="es-ES"/>
        </w:rPr>
      </w:pPr>
      <w:r>
        <w:rPr>
          <w:rFonts w:ascii="Arial" w:hAnsi="Arial" w:cs="Arial"/>
          <w:color w:val="000000"/>
          <w:kern w:val="1"/>
          <w:sz w:val="22"/>
          <w:szCs w:val="22"/>
          <w:lang w:val="es-ES"/>
        </w:rPr>
        <w:t xml:space="preserve">O director </w:t>
      </w:r>
      <w:proofErr w:type="spellStart"/>
      <w:r>
        <w:rPr>
          <w:rFonts w:ascii="Arial" w:hAnsi="Arial" w:cs="Arial"/>
          <w:color w:val="000000"/>
          <w:kern w:val="1"/>
          <w:sz w:val="22"/>
          <w:szCs w:val="22"/>
          <w:lang w:val="es-ES"/>
        </w:rPr>
        <w:t>xeral</w:t>
      </w:r>
      <w:proofErr w:type="spellEnd"/>
      <w:r>
        <w:rPr>
          <w:rFonts w:ascii="Arial" w:hAnsi="Arial" w:cs="Arial"/>
          <w:color w:val="000000"/>
          <w:kern w:val="1"/>
          <w:sz w:val="22"/>
          <w:szCs w:val="22"/>
          <w:lang w:val="es-ES"/>
        </w:rPr>
        <w:t xml:space="preserve"> de Centros e Recursos Humanos</w:t>
      </w:r>
    </w:p>
    <w:p w:rsidR="005421D9" w:rsidRDefault="005421D9" w:rsidP="005421D9">
      <w:pPr>
        <w:widowControl w:val="0"/>
        <w:autoSpaceDE w:val="0"/>
        <w:autoSpaceDN w:val="0"/>
        <w:adjustRightInd w:val="0"/>
        <w:spacing w:after="226" w:line="276" w:lineRule="auto"/>
        <w:ind w:left="567" w:right="567"/>
        <w:jc w:val="both"/>
        <w:rPr>
          <w:rFonts w:ascii="Times New Roman" w:hAnsi="Times New Roman" w:cs="Times New Roman"/>
          <w:color w:val="000000"/>
          <w:kern w:val="1"/>
          <w:sz w:val="22"/>
          <w:szCs w:val="22"/>
          <w:lang w:val="es-ES"/>
        </w:rPr>
      </w:pPr>
    </w:p>
    <w:p w:rsidR="005421D9" w:rsidRDefault="005421D9" w:rsidP="005421D9">
      <w:pPr>
        <w:widowControl w:val="0"/>
        <w:tabs>
          <w:tab w:val="left" w:pos="0"/>
        </w:tabs>
        <w:autoSpaceDE w:val="0"/>
        <w:autoSpaceDN w:val="0"/>
        <w:adjustRightInd w:val="0"/>
        <w:spacing w:after="226" w:line="276" w:lineRule="auto"/>
        <w:ind w:right="567"/>
        <w:jc w:val="both"/>
        <w:rPr>
          <w:rFonts w:ascii="Arial" w:hAnsi="Arial" w:cs="Arial"/>
          <w:color w:val="000000"/>
          <w:kern w:val="1"/>
          <w:sz w:val="26"/>
          <w:szCs w:val="26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José Manuel Pinal Rodríguez</w:t>
      </w:r>
    </w:p>
    <w:p w:rsidR="00044B56" w:rsidRDefault="00044B56">
      <w:bookmarkStart w:id="0" w:name="_GoBack"/>
      <w:bookmarkEnd w:id="0"/>
    </w:p>
    <w:sectPr w:rsidR="00044B56" w:rsidSect="00D95A5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D9"/>
    <w:rsid w:val="00044B56"/>
    <w:rsid w:val="0054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E4F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du.xunta.es/" TargetMode="External"/><Relationship Id="rId6" Type="http://schemas.openxmlformats.org/officeDocument/2006/relationships/hyperlink" Target="mailto:persoal.primaria@edu.xunta.es" TargetMode="External"/><Relationship Id="rId7" Type="http://schemas.openxmlformats.org/officeDocument/2006/relationships/hyperlink" Target="http://www.edu.xunta.es/" TargetMode="External"/><Relationship Id="rId8" Type="http://schemas.openxmlformats.org/officeDocument/2006/relationships/hyperlink" Target="http://www.edu.xunta.e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2617</Words>
  <Characters>14396</Characters>
  <Application>Microsoft Macintosh Word</Application>
  <DocSecurity>0</DocSecurity>
  <Lines>119</Lines>
  <Paragraphs>33</Paragraphs>
  <ScaleCrop>false</ScaleCrop>
  <Company/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Urbano</dc:creator>
  <cp:keywords/>
  <dc:description/>
  <cp:lastModifiedBy>Rosa Urbano</cp:lastModifiedBy>
  <cp:revision>1</cp:revision>
  <dcterms:created xsi:type="dcterms:W3CDTF">2019-01-16T18:15:00Z</dcterms:created>
  <dcterms:modified xsi:type="dcterms:W3CDTF">2019-01-16T18:16:00Z</dcterms:modified>
</cp:coreProperties>
</file>